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785" w:rsidRPr="00BE3785" w:rsidRDefault="00BE3785" w:rsidP="00BE3785">
      <w:pPr>
        <w:shd w:val="clear" w:color="auto" w:fill="FFFFFF"/>
        <w:spacing w:before="240" w:after="0" w:line="240" w:lineRule="auto"/>
        <w:outlineLvl w:val="1"/>
        <w:rPr>
          <w:rFonts w:ascii="Arial" w:eastAsia="Times New Roman" w:hAnsi="Arial" w:cs="Arial"/>
          <w:b/>
          <w:bCs/>
          <w:color w:val="9AC528"/>
          <w:sz w:val="31"/>
          <w:szCs w:val="31"/>
          <w:lang w:eastAsia="fr-FR"/>
        </w:rPr>
      </w:pPr>
      <w:r w:rsidRPr="00BE3785">
        <w:rPr>
          <w:rFonts w:ascii="Arial" w:eastAsia="Times New Roman" w:hAnsi="Arial" w:cs="Arial"/>
          <w:b/>
          <w:bCs/>
          <w:color w:val="9AC528"/>
          <w:sz w:val="31"/>
          <w:szCs w:val="31"/>
          <w:lang w:eastAsia="fr-FR"/>
        </w:rPr>
        <w:t>Phase II - Essai clinique du CK-2017357</w:t>
      </w:r>
    </w:p>
    <w:p w:rsidR="00BE3785" w:rsidRPr="00BE3785" w:rsidRDefault="00BE3785" w:rsidP="00BE3785">
      <w:pPr>
        <w:shd w:val="clear" w:color="auto" w:fill="FFFFFF"/>
        <w:spacing w:after="0" w:line="240" w:lineRule="auto"/>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 xml:space="preserve">Par </w:t>
      </w:r>
      <w:proofErr w:type="spellStart"/>
      <w:r w:rsidRPr="00BE3785">
        <w:rPr>
          <w:rFonts w:ascii="Arial" w:eastAsia="Times New Roman" w:hAnsi="Arial" w:cs="Arial"/>
          <w:color w:val="6B6B6B"/>
          <w:sz w:val="18"/>
          <w:szCs w:val="18"/>
          <w:lang w:eastAsia="fr-FR"/>
        </w:rPr>
        <w:t>Whatacha</w:t>
      </w:r>
      <w:proofErr w:type="spellEnd"/>
      <w:r w:rsidRPr="00BE3785">
        <w:rPr>
          <w:rFonts w:ascii="Arial" w:eastAsia="Times New Roman" w:hAnsi="Arial" w:cs="Arial"/>
          <w:color w:val="6B6B6B"/>
          <w:sz w:val="18"/>
          <w:szCs w:val="18"/>
          <w:lang w:eastAsia="fr-FR"/>
        </w:rPr>
        <w:t xml:space="preserve"> le lundi, août 1 2011, 19:00 - </w:t>
      </w:r>
      <w:hyperlink r:id="rId6" w:history="1">
        <w:r w:rsidRPr="00BE3785">
          <w:rPr>
            <w:rFonts w:ascii="Arial" w:eastAsia="Times New Roman" w:hAnsi="Arial" w:cs="Arial"/>
            <w:color w:val="9AC528"/>
            <w:sz w:val="18"/>
            <w:szCs w:val="18"/>
            <w:u w:val="single"/>
            <w:lang w:eastAsia="fr-FR"/>
          </w:rPr>
          <w:t>traduction</w:t>
        </w:r>
      </w:hyperlink>
      <w:r w:rsidRPr="00BE3785">
        <w:rPr>
          <w:rFonts w:ascii="Arial" w:eastAsia="Times New Roman" w:hAnsi="Arial" w:cs="Arial"/>
          <w:color w:val="6B6B6B"/>
          <w:sz w:val="18"/>
          <w:szCs w:val="18"/>
          <w:lang w:eastAsia="fr-FR"/>
        </w:rPr>
        <w:t> - </w:t>
      </w:r>
      <w:hyperlink r:id="rId7" w:history="1">
        <w:r w:rsidRPr="00BE3785">
          <w:rPr>
            <w:rFonts w:ascii="Arial" w:eastAsia="Times New Roman" w:hAnsi="Arial" w:cs="Arial"/>
            <w:color w:val="9AC528"/>
            <w:sz w:val="18"/>
            <w:szCs w:val="18"/>
            <w:u w:val="single"/>
            <w:lang w:eastAsia="fr-FR"/>
          </w:rPr>
          <w:t>Lien permanent</w:t>
        </w:r>
      </w:hyperlink>
    </w:p>
    <w:p w:rsidR="00BE3785" w:rsidRPr="00BE3785" w:rsidRDefault="00B476BB" w:rsidP="00BE3785">
      <w:pPr>
        <w:numPr>
          <w:ilvl w:val="0"/>
          <w:numId w:val="1"/>
        </w:numPr>
        <w:shd w:val="clear" w:color="auto" w:fill="FFFFFF"/>
        <w:spacing w:before="100" w:beforeAutospacing="1" w:after="100" w:afterAutospacing="1" w:line="240" w:lineRule="auto"/>
        <w:ind w:left="0" w:right="120"/>
        <w:rPr>
          <w:rFonts w:ascii="Arial" w:eastAsia="Times New Roman" w:hAnsi="Arial" w:cs="Arial"/>
          <w:color w:val="6B6B6B"/>
          <w:sz w:val="18"/>
          <w:szCs w:val="18"/>
          <w:lang w:eastAsia="fr-FR"/>
        </w:rPr>
      </w:pPr>
      <w:hyperlink r:id="rId8" w:history="1">
        <w:r w:rsidR="00BE3785" w:rsidRPr="00BE3785">
          <w:rPr>
            <w:rFonts w:ascii="Arial" w:eastAsia="Times New Roman" w:hAnsi="Arial" w:cs="Arial"/>
            <w:color w:val="6B6B6B"/>
            <w:sz w:val="18"/>
            <w:szCs w:val="18"/>
            <w:u w:val="single"/>
            <w:lang w:eastAsia="fr-FR"/>
          </w:rPr>
          <w:t>amyotrophique</w:t>
        </w:r>
      </w:hyperlink>
      <w:r w:rsidR="00BE3785" w:rsidRPr="00BE3785">
        <w:rPr>
          <w:rFonts w:ascii="Arial" w:eastAsia="Times New Roman" w:hAnsi="Arial" w:cs="Arial"/>
          <w:color w:val="6B6B6B"/>
          <w:sz w:val="18"/>
          <w:szCs w:val="18"/>
          <w:lang w:eastAsia="fr-FR"/>
        </w:rPr>
        <w:t xml:space="preserve">  </w:t>
      </w:r>
      <w:hyperlink r:id="rId9" w:history="1">
        <w:proofErr w:type="spellStart"/>
        <w:r w:rsidR="00BE3785" w:rsidRPr="00BE3785">
          <w:rPr>
            <w:rFonts w:ascii="Arial" w:eastAsia="Times New Roman" w:hAnsi="Arial" w:cs="Arial"/>
            <w:color w:val="6B6B6B"/>
            <w:sz w:val="18"/>
            <w:szCs w:val="18"/>
            <w:u w:val="single"/>
            <w:lang w:eastAsia="fr-FR"/>
          </w:rPr>
          <w:t>charcot</w:t>
        </w:r>
        <w:proofErr w:type="spellEnd"/>
      </w:hyperlink>
      <w:r w:rsidR="00BE3785" w:rsidRPr="00BE3785">
        <w:rPr>
          <w:rFonts w:ascii="Arial" w:eastAsia="Times New Roman" w:hAnsi="Arial" w:cs="Arial"/>
          <w:color w:val="6B6B6B"/>
          <w:sz w:val="18"/>
          <w:szCs w:val="18"/>
          <w:lang w:eastAsia="fr-FR"/>
        </w:rPr>
        <w:t xml:space="preserve">  </w:t>
      </w:r>
      <w:hyperlink r:id="rId10" w:history="1">
        <w:r w:rsidR="00BE3785" w:rsidRPr="00BE3785">
          <w:rPr>
            <w:rFonts w:ascii="Arial" w:eastAsia="Times New Roman" w:hAnsi="Arial" w:cs="Arial"/>
            <w:color w:val="6B6B6B"/>
            <w:sz w:val="18"/>
            <w:szCs w:val="18"/>
            <w:u w:val="single"/>
            <w:lang w:eastAsia="fr-FR"/>
          </w:rPr>
          <w:t>CK-2017357</w:t>
        </w:r>
      </w:hyperlink>
      <w:r w:rsidR="00BE3785" w:rsidRPr="00BE3785">
        <w:rPr>
          <w:rFonts w:ascii="Arial" w:eastAsia="Times New Roman" w:hAnsi="Arial" w:cs="Arial"/>
          <w:color w:val="6B6B6B"/>
          <w:sz w:val="18"/>
          <w:szCs w:val="18"/>
          <w:lang w:eastAsia="fr-FR"/>
        </w:rPr>
        <w:t> </w:t>
      </w:r>
      <w:hyperlink r:id="rId11" w:history="1">
        <w:r w:rsidR="00BE3785" w:rsidRPr="00BE3785">
          <w:rPr>
            <w:rFonts w:ascii="Arial" w:eastAsia="Times New Roman" w:hAnsi="Arial" w:cs="Arial"/>
            <w:color w:val="6B6B6B"/>
            <w:sz w:val="18"/>
            <w:szCs w:val="18"/>
            <w:u w:val="single"/>
            <w:lang w:eastAsia="fr-FR"/>
          </w:rPr>
          <w:t>communauté</w:t>
        </w:r>
      </w:hyperlink>
      <w:r w:rsidR="00BE3785" w:rsidRPr="00BE3785">
        <w:rPr>
          <w:rFonts w:ascii="Arial" w:eastAsia="Times New Roman" w:hAnsi="Arial" w:cs="Arial"/>
          <w:color w:val="6B6B6B"/>
          <w:sz w:val="18"/>
          <w:szCs w:val="18"/>
          <w:lang w:eastAsia="fr-FR"/>
        </w:rPr>
        <w:t> </w:t>
      </w:r>
      <w:proofErr w:type="spellStart"/>
      <w:r>
        <w:fldChar w:fldCharType="begin"/>
      </w:r>
      <w:r>
        <w:instrText xml:space="preserve"> HYPERLINK "http://www.communaute-sla.org/translation/index.php/tag/gerhig" </w:instrText>
      </w:r>
      <w:r>
        <w:fldChar w:fldCharType="separate"/>
      </w:r>
      <w:r w:rsidR="00BE3785" w:rsidRPr="00BE3785">
        <w:rPr>
          <w:rFonts w:ascii="Arial" w:eastAsia="Times New Roman" w:hAnsi="Arial" w:cs="Arial"/>
          <w:color w:val="6B6B6B"/>
          <w:sz w:val="18"/>
          <w:szCs w:val="18"/>
          <w:u w:val="single"/>
          <w:lang w:eastAsia="fr-FR"/>
        </w:rPr>
        <w:t>gerhig</w:t>
      </w:r>
      <w:proofErr w:type="spellEnd"/>
      <w:r>
        <w:rPr>
          <w:rFonts w:ascii="Arial" w:eastAsia="Times New Roman" w:hAnsi="Arial" w:cs="Arial"/>
          <w:color w:val="6B6B6B"/>
          <w:sz w:val="18"/>
          <w:szCs w:val="18"/>
          <w:u w:val="single"/>
          <w:lang w:eastAsia="fr-FR"/>
        </w:rPr>
        <w:fldChar w:fldCharType="end"/>
      </w:r>
      <w:r w:rsidR="00BE3785" w:rsidRPr="00BE3785">
        <w:rPr>
          <w:rFonts w:ascii="Arial" w:eastAsia="Times New Roman" w:hAnsi="Arial" w:cs="Arial"/>
          <w:color w:val="6B6B6B"/>
          <w:sz w:val="18"/>
          <w:szCs w:val="18"/>
          <w:lang w:eastAsia="fr-FR"/>
        </w:rPr>
        <w:t xml:space="preserve">  </w:t>
      </w:r>
      <w:hyperlink r:id="rId12" w:history="1">
        <w:r w:rsidR="00BE3785" w:rsidRPr="00BE3785">
          <w:rPr>
            <w:rFonts w:ascii="Arial" w:eastAsia="Times New Roman" w:hAnsi="Arial" w:cs="Arial"/>
            <w:color w:val="6B6B6B"/>
            <w:sz w:val="18"/>
            <w:szCs w:val="18"/>
            <w:u w:val="single"/>
            <w:lang w:eastAsia="fr-FR"/>
          </w:rPr>
          <w:t>latérale</w:t>
        </w:r>
      </w:hyperlink>
      <w:r w:rsidR="00BE3785" w:rsidRPr="00BE3785">
        <w:rPr>
          <w:rFonts w:ascii="Arial" w:eastAsia="Times New Roman" w:hAnsi="Arial" w:cs="Arial"/>
          <w:color w:val="6B6B6B"/>
          <w:sz w:val="18"/>
          <w:szCs w:val="18"/>
          <w:lang w:eastAsia="fr-FR"/>
        </w:rPr>
        <w:t xml:space="preserve">  </w:t>
      </w:r>
      <w:hyperlink r:id="rId13" w:history="1">
        <w:r w:rsidR="00BE3785" w:rsidRPr="00BE3785">
          <w:rPr>
            <w:rFonts w:ascii="Arial" w:eastAsia="Times New Roman" w:hAnsi="Arial" w:cs="Arial"/>
            <w:color w:val="6B6B6B"/>
            <w:sz w:val="18"/>
            <w:szCs w:val="18"/>
            <w:u w:val="single"/>
            <w:lang w:eastAsia="fr-FR"/>
          </w:rPr>
          <w:t>Lou</w:t>
        </w:r>
      </w:hyperlink>
      <w:r w:rsidR="00BE3785" w:rsidRPr="00BE3785">
        <w:rPr>
          <w:rFonts w:ascii="Arial" w:eastAsia="Times New Roman" w:hAnsi="Arial" w:cs="Arial"/>
          <w:color w:val="6B6B6B"/>
          <w:sz w:val="18"/>
          <w:szCs w:val="18"/>
          <w:lang w:eastAsia="fr-FR"/>
        </w:rPr>
        <w:t xml:space="preserve">  </w:t>
      </w:r>
      <w:hyperlink r:id="rId14" w:history="1">
        <w:r w:rsidR="00BE3785" w:rsidRPr="00BE3785">
          <w:rPr>
            <w:rFonts w:ascii="Arial" w:eastAsia="Times New Roman" w:hAnsi="Arial" w:cs="Arial"/>
            <w:color w:val="6B6B6B"/>
            <w:sz w:val="18"/>
            <w:szCs w:val="18"/>
            <w:u w:val="single"/>
            <w:lang w:eastAsia="fr-FR"/>
          </w:rPr>
          <w:t>Maladie de Charcot</w:t>
        </w:r>
      </w:hyperlink>
      <w:r w:rsidR="00BE3785" w:rsidRPr="00BE3785">
        <w:rPr>
          <w:rFonts w:ascii="Arial" w:eastAsia="Times New Roman" w:hAnsi="Arial" w:cs="Arial"/>
          <w:color w:val="6B6B6B"/>
          <w:sz w:val="18"/>
          <w:szCs w:val="18"/>
          <w:lang w:eastAsia="fr-FR"/>
        </w:rPr>
        <w:t> </w:t>
      </w:r>
      <w:hyperlink r:id="rId15" w:history="1">
        <w:r w:rsidR="00BE3785" w:rsidRPr="00BE3785">
          <w:rPr>
            <w:rFonts w:ascii="Arial" w:eastAsia="Times New Roman" w:hAnsi="Arial" w:cs="Arial"/>
            <w:color w:val="6B6B6B"/>
            <w:sz w:val="18"/>
            <w:szCs w:val="18"/>
            <w:u w:val="single"/>
            <w:lang w:eastAsia="fr-FR"/>
          </w:rPr>
          <w:t>sclérose</w:t>
        </w:r>
      </w:hyperlink>
      <w:r w:rsidR="00BE3785" w:rsidRPr="00BE3785">
        <w:rPr>
          <w:rFonts w:ascii="Arial" w:eastAsia="Times New Roman" w:hAnsi="Arial" w:cs="Arial"/>
          <w:color w:val="6B6B6B"/>
          <w:sz w:val="18"/>
          <w:szCs w:val="18"/>
          <w:lang w:eastAsia="fr-FR"/>
        </w:rPr>
        <w:t xml:space="preserve">  </w:t>
      </w:r>
      <w:hyperlink r:id="rId16" w:history="1">
        <w:proofErr w:type="spellStart"/>
        <w:r w:rsidR="00BE3785" w:rsidRPr="00BE3785">
          <w:rPr>
            <w:rFonts w:ascii="Arial" w:eastAsia="Times New Roman" w:hAnsi="Arial" w:cs="Arial"/>
            <w:color w:val="6B6B6B"/>
            <w:sz w:val="18"/>
            <w:szCs w:val="18"/>
            <w:u w:val="single"/>
            <w:lang w:eastAsia="fr-FR"/>
          </w:rPr>
          <w:t>sla</w:t>
        </w:r>
        <w:proofErr w:type="spellEnd"/>
      </w:hyperlink>
      <w:r w:rsidR="00BE3785" w:rsidRPr="00BE3785">
        <w:rPr>
          <w:rFonts w:ascii="Arial" w:eastAsia="Times New Roman" w:hAnsi="Arial" w:cs="Arial"/>
          <w:color w:val="6B6B6B"/>
          <w:sz w:val="18"/>
          <w:szCs w:val="18"/>
          <w:lang w:eastAsia="fr-FR"/>
        </w:rPr>
        <w:t xml:space="preserve">  </w:t>
      </w:r>
      <w:hyperlink r:id="rId17" w:history="1">
        <w:r w:rsidR="00BE3785" w:rsidRPr="00BE3785">
          <w:rPr>
            <w:rFonts w:ascii="Arial" w:eastAsia="Times New Roman" w:hAnsi="Arial" w:cs="Arial"/>
            <w:color w:val="6B6B6B"/>
            <w:sz w:val="18"/>
            <w:szCs w:val="18"/>
            <w:u w:val="single"/>
            <w:lang w:eastAsia="fr-FR"/>
          </w:rPr>
          <w:t>SLA</w:t>
        </w:r>
      </w:hyperlink>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proofErr w:type="spellStart"/>
      <w:r w:rsidRPr="00BE3785">
        <w:rPr>
          <w:rFonts w:ascii="Arial" w:eastAsia="Times New Roman" w:hAnsi="Arial" w:cs="Arial"/>
          <w:color w:val="6B6B6B"/>
          <w:sz w:val="18"/>
          <w:szCs w:val="18"/>
          <w:lang w:eastAsia="fr-FR"/>
        </w:rPr>
        <w:t>Cytokinetics</w:t>
      </w:r>
      <w:proofErr w:type="spellEnd"/>
      <w:r w:rsidRPr="00BE3785">
        <w:rPr>
          <w:rFonts w:ascii="Arial" w:eastAsia="Times New Roman" w:hAnsi="Arial" w:cs="Arial"/>
          <w:color w:val="6B6B6B"/>
          <w:sz w:val="18"/>
          <w:szCs w:val="18"/>
          <w:lang w:eastAsia="fr-FR"/>
        </w:rPr>
        <w:t xml:space="preserve"> </w:t>
      </w:r>
      <w:proofErr w:type="spellStart"/>
      <w:r w:rsidRPr="00BE3785">
        <w:rPr>
          <w:rFonts w:ascii="Arial" w:eastAsia="Times New Roman" w:hAnsi="Arial" w:cs="Arial"/>
          <w:color w:val="6B6B6B"/>
          <w:sz w:val="18"/>
          <w:szCs w:val="18"/>
          <w:lang w:eastAsia="fr-FR"/>
        </w:rPr>
        <w:t>Incorporated</w:t>
      </w:r>
      <w:proofErr w:type="spellEnd"/>
      <w:r w:rsidRPr="00BE3785">
        <w:rPr>
          <w:rFonts w:ascii="Arial" w:eastAsia="Times New Roman" w:hAnsi="Arial" w:cs="Arial"/>
          <w:color w:val="6B6B6B"/>
          <w:sz w:val="18"/>
          <w:szCs w:val="18"/>
          <w:lang w:eastAsia="fr-FR"/>
        </w:rPr>
        <w:t xml:space="preserve"> a annoncé le 21 juin 2011, que la société a ouvert l’inscription à un deuxième test clinique en phase II du CK-2017357 pour des patients présentant la sclérose latérale amyotrophique (SLA). CK-2017357, un activateur rapide de troponine du muscle squelettique, active sélectivement le complexe rapide de troponine du muscle squelettique en augmentant sa sensibilité au calcium, qui augmente la force du muscle squelettique en réponse à l’entrée neuronale et retarde le début et réduit le degré de fatigue du muscle. CK-2017357 est le médicament candidat qui a émergé du programme de la société.</w:t>
      </w:r>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Ce test clinique est un procédé à double anonymat, aléatoire, contrôlé par un placebo conçu pour évaluer la sécurité et la tolérance des doses multiples de CK-2017357 chez les patients présentant une SLA. 24 patients environ sont prévus pour être inscrits sur huit à dix centres d’étude aux Etats-Unis. Les patients sont alors rattaché à l’un des quatre groupes différents de traitement afin de recevoir les doses orales quotidiennes de placebo, 125 mg, 250 mg, ou 375 mg de CK-2017357, respectivement, pendant deux semaines ; les évaluations cliniques auront lieu à des heures prédéterminées pendant le traitement. Les patients participeront également aux évaluations complémentaires une semaine après avoir reçu la dose finale.</w:t>
      </w:r>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Le premier objectif de ce test clinique est d’évaluer la sureté et la tolérance de CK-2017357, après les doses orales multiples aux concentrations équilibrées de plasma, chez les patients atteints de SLA. Un second objectif de ce test clinique est d’évaluer l’estimation fonctionnelle de l’"Échelle-SLA" (ALSFRS-R), d’effectuer des mesures des fonctions pulmonaires, de la force musculaire et la fatigue. Enfin une évaluation globale par un médecin sera effectuée pendant ces deux semaines, tout en recevant le traitement CK-2017357 aux doses indiquées ou au placebo.</w:t>
      </w:r>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 xml:space="preserve">« Nous sommes heureux d’annoncer cette prochaine étude dans notre programme dirigé vers l’évaluation du CK-2017357 chez les patients atteints de SLA, » indiquait M. </w:t>
      </w:r>
      <w:proofErr w:type="spellStart"/>
      <w:r w:rsidRPr="00BE3785">
        <w:rPr>
          <w:rFonts w:ascii="Arial" w:eastAsia="Times New Roman" w:hAnsi="Arial" w:cs="Arial"/>
          <w:color w:val="6B6B6B"/>
          <w:sz w:val="18"/>
          <w:szCs w:val="18"/>
          <w:lang w:eastAsia="fr-FR"/>
        </w:rPr>
        <w:t>Cedarbaum</w:t>
      </w:r>
      <w:proofErr w:type="spellEnd"/>
      <w:r w:rsidRPr="00BE3785">
        <w:rPr>
          <w:rFonts w:ascii="Arial" w:eastAsia="Times New Roman" w:hAnsi="Arial" w:cs="Arial"/>
          <w:color w:val="6B6B6B"/>
          <w:sz w:val="18"/>
          <w:szCs w:val="18"/>
          <w:lang w:eastAsia="fr-FR"/>
        </w:rPr>
        <w:t xml:space="preserve">, M.D., vice-président de </w:t>
      </w:r>
      <w:proofErr w:type="spellStart"/>
      <w:r w:rsidRPr="00BE3785">
        <w:rPr>
          <w:rFonts w:ascii="Arial" w:eastAsia="Times New Roman" w:hAnsi="Arial" w:cs="Arial"/>
          <w:color w:val="6B6B6B"/>
          <w:sz w:val="18"/>
          <w:szCs w:val="18"/>
          <w:lang w:eastAsia="fr-FR"/>
        </w:rPr>
        <w:t>Cytokinetics</w:t>
      </w:r>
      <w:proofErr w:type="spellEnd"/>
      <w:r w:rsidRPr="00BE3785">
        <w:rPr>
          <w:rFonts w:ascii="Arial" w:eastAsia="Times New Roman" w:hAnsi="Arial" w:cs="Arial"/>
          <w:color w:val="6B6B6B"/>
          <w:sz w:val="18"/>
          <w:szCs w:val="18"/>
          <w:lang w:eastAsia="fr-FR"/>
        </w:rPr>
        <w:t xml:space="preserve"> </w:t>
      </w:r>
      <w:proofErr w:type="spellStart"/>
      <w:r w:rsidRPr="00BE3785">
        <w:rPr>
          <w:rFonts w:ascii="Arial" w:eastAsia="Times New Roman" w:hAnsi="Arial" w:cs="Arial"/>
          <w:color w:val="6B6B6B"/>
          <w:sz w:val="18"/>
          <w:szCs w:val="18"/>
          <w:lang w:eastAsia="fr-FR"/>
        </w:rPr>
        <w:t>Clinical</w:t>
      </w:r>
      <w:proofErr w:type="spellEnd"/>
      <w:r w:rsidRPr="00BE3785">
        <w:rPr>
          <w:rFonts w:ascii="Arial" w:eastAsia="Times New Roman" w:hAnsi="Arial" w:cs="Arial"/>
          <w:color w:val="6B6B6B"/>
          <w:sz w:val="18"/>
          <w:szCs w:val="18"/>
          <w:lang w:eastAsia="fr-FR"/>
        </w:rPr>
        <w:t xml:space="preserve"> </w:t>
      </w:r>
      <w:proofErr w:type="spellStart"/>
      <w:r w:rsidRPr="00BE3785">
        <w:rPr>
          <w:rFonts w:ascii="Arial" w:eastAsia="Times New Roman" w:hAnsi="Arial" w:cs="Arial"/>
          <w:color w:val="6B6B6B"/>
          <w:sz w:val="18"/>
          <w:szCs w:val="18"/>
          <w:lang w:eastAsia="fr-FR"/>
        </w:rPr>
        <w:t>Research</w:t>
      </w:r>
      <w:proofErr w:type="spellEnd"/>
      <w:r w:rsidRPr="00BE3785">
        <w:rPr>
          <w:rFonts w:ascii="Arial" w:eastAsia="Times New Roman" w:hAnsi="Arial" w:cs="Arial"/>
          <w:color w:val="6B6B6B"/>
          <w:sz w:val="18"/>
          <w:szCs w:val="18"/>
          <w:lang w:eastAsia="fr-FR"/>
        </w:rPr>
        <w:t xml:space="preserve"> and Operations, Neuroscience and </w:t>
      </w:r>
      <w:proofErr w:type="spellStart"/>
      <w:r w:rsidRPr="00BE3785">
        <w:rPr>
          <w:rFonts w:ascii="Arial" w:eastAsia="Times New Roman" w:hAnsi="Arial" w:cs="Arial"/>
          <w:color w:val="6B6B6B"/>
          <w:sz w:val="18"/>
          <w:szCs w:val="18"/>
          <w:lang w:eastAsia="fr-FR"/>
        </w:rPr>
        <w:t>Neuromuscular</w:t>
      </w:r>
      <w:proofErr w:type="spellEnd"/>
      <w:r w:rsidRPr="00BE3785">
        <w:rPr>
          <w:rFonts w:ascii="Arial" w:eastAsia="Times New Roman" w:hAnsi="Arial" w:cs="Arial"/>
          <w:color w:val="6B6B6B"/>
          <w:sz w:val="18"/>
          <w:szCs w:val="18"/>
          <w:lang w:eastAsia="fr-FR"/>
        </w:rPr>
        <w:t xml:space="preserve"> </w:t>
      </w:r>
      <w:proofErr w:type="spellStart"/>
      <w:r w:rsidRPr="00BE3785">
        <w:rPr>
          <w:rFonts w:ascii="Arial" w:eastAsia="Times New Roman" w:hAnsi="Arial" w:cs="Arial"/>
          <w:color w:val="6B6B6B"/>
          <w:sz w:val="18"/>
          <w:szCs w:val="18"/>
          <w:lang w:eastAsia="fr-FR"/>
        </w:rPr>
        <w:t>Disorders</w:t>
      </w:r>
      <w:proofErr w:type="spellEnd"/>
      <w:r w:rsidRPr="00BE3785">
        <w:rPr>
          <w:rFonts w:ascii="Arial" w:eastAsia="Times New Roman" w:hAnsi="Arial" w:cs="Arial"/>
          <w:color w:val="6B6B6B"/>
          <w:sz w:val="18"/>
          <w:szCs w:val="18"/>
          <w:lang w:eastAsia="fr-FR"/>
        </w:rPr>
        <w:t xml:space="preserve">. « Ce test clinique est conçu pour compléter nos premiers essais de phase </w:t>
      </w:r>
      <w:proofErr w:type="spellStart"/>
      <w:r w:rsidRPr="00BE3785">
        <w:rPr>
          <w:rFonts w:ascii="Arial" w:eastAsia="Times New Roman" w:hAnsi="Arial" w:cs="Arial"/>
          <w:color w:val="6B6B6B"/>
          <w:sz w:val="18"/>
          <w:szCs w:val="18"/>
          <w:lang w:eastAsia="fr-FR"/>
        </w:rPr>
        <w:t>IIa</w:t>
      </w:r>
      <w:proofErr w:type="spellEnd"/>
      <w:r w:rsidRPr="00BE3785">
        <w:rPr>
          <w:rFonts w:ascii="Arial" w:eastAsia="Times New Roman" w:hAnsi="Arial" w:cs="Arial"/>
          <w:color w:val="6B6B6B"/>
          <w:sz w:val="18"/>
          <w:szCs w:val="18"/>
          <w:lang w:eastAsia="fr-FR"/>
        </w:rPr>
        <w:t>, administration d’une dose unique, conclue avec succès en 2010, et évaluer maintenant la sureté et tolérance de CK-2017357 administré de manière quotidienne afin de déterminer les concentrations équilibrées de plasma. »</w:t>
      </w:r>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 xml:space="preserve">« Ce test clinique est le septième dans une série d’études conçues pour évaluer CK-2017357 dans un traitement potentiel des patients présentant un dysfonctionnement ou l’affaiblissement des muscles. Faire entrer CK-2017357 dans un test clinique </w:t>
      </w:r>
      <w:proofErr w:type="spellStart"/>
      <w:r w:rsidRPr="00BE3785">
        <w:rPr>
          <w:rFonts w:ascii="Arial" w:eastAsia="Times New Roman" w:hAnsi="Arial" w:cs="Arial"/>
          <w:color w:val="6B6B6B"/>
          <w:sz w:val="18"/>
          <w:szCs w:val="18"/>
          <w:lang w:eastAsia="fr-FR"/>
        </w:rPr>
        <w:t>IIb</w:t>
      </w:r>
      <w:proofErr w:type="spellEnd"/>
      <w:r w:rsidRPr="00BE3785">
        <w:rPr>
          <w:rFonts w:ascii="Arial" w:eastAsia="Times New Roman" w:hAnsi="Arial" w:cs="Arial"/>
          <w:color w:val="6B6B6B"/>
          <w:sz w:val="18"/>
          <w:szCs w:val="18"/>
          <w:lang w:eastAsia="fr-FR"/>
        </w:rPr>
        <w:t xml:space="preserve"> en 2012 pour les patients présentant le SLA reste une priorité pour notre société, » indique Robert I. Blum, Président et Directeur Général de </w:t>
      </w:r>
      <w:proofErr w:type="spellStart"/>
      <w:r w:rsidRPr="00BE3785">
        <w:rPr>
          <w:rFonts w:ascii="Arial" w:eastAsia="Times New Roman" w:hAnsi="Arial" w:cs="Arial"/>
          <w:color w:val="6B6B6B"/>
          <w:sz w:val="18"/>
          <w:szCs w:val="18"/>
          <w:lang w:eastAsia="fr-FR"/>
        </w:rPr>
        <w:t>Cytokinetics</w:t>
      </w:r>
      <w:proofErr w:type="spellEnd"/>
      <w:r w:rsidRPr="00BE3785">
        <w:rPr>
          <w:rFonts w:ascii="Arial" w:eastAsia="Times New Roman" w:hAnsi="Arial" w:cs="Arial"/>
          <w:color w:val="6B6B6B"/>
          <w:sz w:val="18"/>
          <w:szCs w:val="18"/>
          <w:lang w:eastAsia="fr-FR"/>
        </w:rPr>
        <w:t>’. « Nous espérons que les données de ce test clinique pourront renseigner les voies d’action de notre nouveau candidat dirigé vers le traitement potentiel des patients de SAL. »</w:t>
      </w:r>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 xml:space="preserve">Mise à jour programme de contractilité de muscle squelettique sur </w:t>
      </w:r>
      <w:proofErr w:type="spellStart"/>
      <w:r w:rsidRPr="00BE3785">
        <w:rPr>
          <w:rFonts w:ascii="Arial" w:eastAsia="Times New Roman" w:hAnsi="Arial" w:cs="Arial"/>
          <w:color w:val="6B6B6B"/>
          <w:sz w:val="18"/>
          <w:szCs w:val="18"/>
          <w:lang w:eastAsia="fr-FR"/>
        </w:rPr>
        <w:t>Cytokinetics</w:t>
      </w:r>
      <w:proofErr w:type="spellEnd"/>
      <w:r w:rsidRPr="00BE3785">
        <w:rPr>
          <w:rFonts w:ascii="Arial" w:eastAsia="Times New Roman" w:hAnsi="Arial" w:cs="Arial"/>
          <w:color w:val="6B6B6B"/>
          <w:sz w:val="18"/>
          <w:szCs w:val="18"/>
          <w:lang w:eastAsia="fr-FR"/>
        </w:rPr>
        <w:t xml:space="preserve">’ En plus de CK-2017357, </w:t>
      </w:r>
      <w:proofErr w:type="spellStart"/>
      <w:r w:rsidRPr="00BE3785">
        <w:rPr>
          <w:rFonts w:ascii="Arial" w:eastAsia="Times New Roman" w:hAnsi="Arial" w:cs="Arial"/>
          <w:color w:val="6B6B6B"/>
          <w:sz w:val="18"/>
          <w:szCs w:val="18"/>
          <w:lang w:eastAsia="fr-FR"/>
        </w:rPr>
        <w:t>Cytokinetics</w:t>
      </w:r>
      <w:proofErr w:type="spellEnd"/>
      <w:r w:rsidRPr="00BE3785">
        <w:rPr>
          <w:rFonts w:ascii="Arial" w:eastAsia="Times New Roman" w:hAnsi="Arial" w:cs="Arial"/>
          <w:color w:val="6B6B6B"/>
          <w:sz w:val="18"/>
          <w:szCs w:val="18"/>
          <w:lang w:eastAsia="fr-FR"/>
        </w:rPr>
        <w:t xml:space="preserve"> avance également les activateurs de muscle squelettique de retour et de suite, chacun avec différentes propriétés </w:t>
      </w:r>
      <w:proofErr w:type="spellStart"/>
      <w:r w:rsidRPr="00BE3785">
        <w:rPr>
          <w:rFonts w:ascii="Arial" w:eastAsia="Times New Roman" w:hAnsi="Arial" w:cs="Arial"/>
          <w:color w:val="6B6B6B"/>
          <w:sz w:val="18"/>
          <w:szCs w:val="18"/>
          <w:lang w:eastAsia="fr-FR"/>
        </w:rPr>
        <w:t>physiochimiques</w:t>
      </w:r>
      <w:proofErr w:type="spellEnd"/>
      <w:r w:rsidRPr="00BE3785">
        <w:rPr>
          <w:rFonts w:ascii="Arial" w:eastAsia="Times New Roman" w:hAnsi="Arial" w:cs="Arial"/>
          <w:color w:val="6B6B6B"/>
          <w:sz w:val="18"/>
          <w:szCs w:val="18"/>
          <w:lang w:eastAsia="fr-FR"/>
        </w:rPr>
        <w:t xml:space="preserve">, et des activités actuelles de développement pour compléter </w:t>
      </w:r>
      <w:proofErr w:type="spellStart"/>
      <w:r w:rsidRPr="00BE3785">
        <w:rPr>
          <w:rFonts w:ascii="Arial" w:eastAsia="Times New Roman" w:hAnsi="Arial" w:cs="Arial"/>
          <w:color w:val="6B6B6B"/>
          <w:sz w:val="18"/>
          <w:szCs w:val="18"/>
          <w:lang w:eastAsia="fr-FR"/>
        </w:rPr>
        <w:t>Cytokinetics</w:t>
      </w:r>
      <w:proofErr w:type="spellEnd"/>
      <w:r w:rsidRPr="00BE3785">
        <w:rPr>
          <w:rFonts w:ascii="Arial" w:eastAsia="Times New Roman" w:hAnsi="Arial" w:cs="Arial"/>
          <w:color w:val="6B6B6B"/>
          <w:sz w:val="18"/>
          <w:szCs w:val="18"/>
          <w:lang w:eastAsia="fr-FR"/>
        </w:rPr>
        <w:t xml:space="preserve">’. </w:t>
      </w:r>
      <w:r w:rsidRPr="00BE3785">
        <w:rPr>
          <w:rFonts w:ascii="Arial" w:eastAsia="Times New Roman" w:hAnsi="Arial" w:cs="Arial"/>
          <w:color w:val="6B6B6B"/>
          <w:sz w:val="18"/>
          <w:szCs w:val="18"/>
          <w:lang w:eastAsia="fr-FR"/>
        </w:rPr>
        <w:lastRenderedPageBreak/>
        <w:t xml:space="preserve">En plus de CK-2066260, la société a identifié un autre candidat potentiel dirigée vers l’activation de muscle </w:t>
      </w:r>
      <w:bookmarkStart w:id="0" w:name="_GoBack"/>
      <w:bookmarkEnd w:id="0"/>
      <w:r w:rsidRPr="00BE3785">
        <w:rPr>
          <w:rFonts w:ascii="Arial" w:eastAsia="Times New Roman" w:hAnsi="Arial" w:cs="Arial"/>
          <w:color w:val="6B6B6B"/>
          <w:sz w:val="18"/>
          <w:szCs w:val="18"/>
          <w:lang w:eastAsia="fr-FR"/>
        </w:rPr>
        <w:t xml:space="preserve">squelettique de </w:t>
      </w:r>
      <w:proofErr w:type="spellStart"/>
      <w:r w:rsidRPr="00BE3785">
        <w:rPr>
          <w:rFonts w:ascii="Arial" w:eastAsia="Times New Roman" w:hAnsi="Arial" w:cs="Arial"/>
          <w:color w:val="6B6B6B"/>
          <w:sz w:val="18"/>
          <w:szCs w:val="18"/>
          <w:lang w:eastAsia="fr-FR"/>
        </w:rPr>
        <w:t>fasttwitch</w:t>
      </w:r>
      <w:proofErr w:type="spellEnd"/>
      <w:r w:rsidRPr="00BE3785">
        <w:rPr>
          <w:rFonts w:ascii="Arial" w:eastAsia="Times New Roman" w:hAnsi="Arial" w:cs="Arial"/>
          <w:color w:val="6B6B6B"/>
          <w:sz w:val="18"/>
          <w:szCs w:val="18"/>
          <w:lang w:eastAsia="fr-FR"/>
        </w:rPr>
        <w:t xml:space="preserve">. </w:t>
      </w:r>
      <w:proofErr w:type="spellStart"/>
      <w:r w:rsidRPr="00BE3785">
        <w:rPr>
          <w:rFonts w:ascii="Arial" w:eastAsia="Times New Roman" w:hAnsi="Arial" w:cs="Arial"/>
          <w:color w:val="6B6B6B"/>
          <w:sz w:val="18"/>
          <w:szCs w:val="18"/>
          <w:lang w:eastAsia="fr-FR"/>
        </w:rPr>
        <w:t>Cytokinetics</w:t>
      </w:r>
      <w:proofErr w:type="spellEnd"/>
      <w:r w:rsidRPr="00BE3785">
        <w:rPr>
          <w:rFonts w:ascii="Arial" w:eastAsia="Times New Roman" w:hAnsi="Arial" w:cs="Arial"/>
          <w:color w:val="6B6B6B"/>
          <w:sz w:val="18"/>
          <w:szCs w:val="18"/>
          <w:lang w:eastAsia="fr-FR"/>
        </w:rPr>
        <w:t xml:space="preserve"> mets en avant les deux composés dans des activités non-cliniques de recherche et développement. La société n’a pas de plan actuel pour déposer une nouvelle demande d’investigation de drogue (</w:t>
      </w:r>
      <w:proofErr w:type="spellStart"/>
      <w:r w:rsidRPr="00BE3785">
        <w:rPr>
          <w:rFonts w:ascii="Arial" w:eastAsia="Times New Roman" w:hAnsi="Arial" w:cs="Arial"/>
          <w:color w:val="6B6B6B"/>
          <w:sz w:val="18"/>
          <w:szCs w:val="18"/>
          <w:lang w:eastAsia="fr-FR"/>
        </w:rPr>
        <w:t>Ind</w:t>
      </w:r>
      <w:proofErr w:type="spellEnd"/>
      <w:r w:rsidRPr="00BE3785">
        <w:rPr>
          <w:rFonts w:ascii="Arial" w:eastAsia="Times New Roman" w:hAnsi="Arial" w:cs="Arial"/>
          <w:color w:val="6B6B6B"/>
          <w:sz w:val="18"/>
          <w:szCs w:val="18"/>
          <w:lang w:eastAsia="fr-FR"/>
        </w:rPr>
        <w:t>) de l’un ou l’autre de ces composés en 2011.</w:t>
      </w:r>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 xml:space="preserve">Statut de développement de CK-2017357 </w:t>
      </w:r>
      <w:proofErr w:type="spellStart"/>
      <w:r w:rsidRPr="00BE3785">
        <w:rPr>
          <w:rFonts w:ascii="Arial" w:eastAsia="Times New Roman" w:hAnsi="Arial" w:cs="Arial"/>
          <w:color w:val="6B6B6B"/>
          <w:sz w:val="18"/>
          <w:szCs w:val="18"/>
          <w:lang w:eastAsia="fr-FR"/>
        </w:rPr>
        <w:t>CK-2017357</w:t>
      </w:r>
      <w:proofErr w:type="spellEnd"/>
      <w:r w:rsidRPr="00BE3785">
        <w:rPr>
          <w:rFonts w:ascii="Arial" w:eastAsia="Times New Roman" w:hAnsi="Arial" w:cs="Arial"/>
          <w:color w:val="6B6B6B"/>
          <w:sz w:val="18"/>
          <w:szCs w:val="18"/>
          <w:lang w:eastAsia="fr-FR"/>
        </w:rPr>
        <w:t xml:space="preserve"> est actuellement le sujet de programmes de tests cliniques qui incluent deux études achevées de phase I chez des patients volontaires en bonne santé et deux des tests cliniques de phase </w:t>
      </w:r>
      <w:proofErr w:type="spellStart"/>
      <w:r w:rsidRPr="00BE3785">
        <w:rPr>
          <w:rFonts w:ascii="Arial" w:eastAsia="Times New Roman" w:hAnsi="Arial" w:cs="Arial"/>
          <w:color w:val="6B6B6B"/>
          <w:sz w:val="18"/>
          <w:szCs w:val="18"/>
          <w:lang w:eastAsia="fr-FR"/>
        </w:rPr>
        <w:t>IIa</w:t>
      </w:r>
      <w:proofErr w:type="spellEnd"/>
      <w:r w:rsidRPr="00BE3785">
        <w:rPr>
          <w:rFonts w:ascii="Arial" w:eastAsia="Times New Roman" w:hAnsi="Arial" w:cs="Arial"/>
          <w:color w:val="6B6B6B"/>
          <w:sz w:val="18"/>
          <w:szCs w:val="18"/>
          <w:lang w:eastAsia="fr-FR"/>
        </w:rPr>
        <w:t xml:space="preserve"> : un chez des patients présentant une SLA et l’autre chez des patients présentant la claudication associé à une maladie des artères périphériques, qui ont été précédemment rapportés. En outre, des tests effectifs de phase </w:t>
      </w:r>
      <w:proofErr w:type="spellStart"/>
      <w:r w:rsidRPr="00BE3785">
        <w:rPr>
          <w:rFonts w:ascii="Arial" w:eastAsia="Times New Roman" w:hAnsi="Arial" w:cs="Arial"/>
          <w:color w:val="6B6B6B"/>
          <w:sz w:val="18"/>
          <w:szCs w:val="18"/>
          <w:lang w:eastAsia="fr-FR"/>
        </w:rPr>
        <w:t>IIa</w:t>
      </w:r>
      <w:proofErr w:type="spellEnd"/>
      <w:r w:rsidRPr="00BE3785">
        <w:rPr>
          <w:rFonts w:ascii="Arial" w:eastAsia="Times New Roman" w:hAnsi="Arial" w:cs="Arial"/>
          <w:color w:val="6B6B6B"/>
          <w:sz w:val="18"/>
          <w:szCs w:val="18"/>
          <w:lang w:eastAsia="fr-FR"/>
        </w:rPr>
        <w:t xml:space="preserve"> chez des patients avec des </w:t>
      </w:r>
      <w:r w:rsidRPr="00B476BB">
        <w:rPr>
          <w:rFonts w:ascii="Arial" w:eastAsia="Times New Roman" w:hAnsi="Arial" w:cs="Arial"/>
          <w:color w:val="6B6B6B"/>
          <w:sz w:val="18"/>
          <w:szCs w:val="18"/>
          <w:highlight w:val="yellow"/>
          <w:lang w:eastAsia="fr-FR"/>
        </w:rPr>
        <w:t xml:space="preserve">gravis de </w:t>
      </w:r>
      <w:proofErr w:type="spellStart"/>
      <w:r w:rsidRPr="00B476BB">
        <w:rPr>
          <w:rFonts w:ascii="Arial" w:eastAsia="Times New Roman" w:hAnsi="Arial" w:cs="Arial"/>
          <w:color w:val="6B6B6B"/>
          <w:sz w:val="18"/>
          <w:szCs w:val="18"/>
          <w:highlight w:val="yellow"/>
          <w:lang w:eastAsia="fr-FR"/>
        </w:rPr>
        <w:t>myasthenia</w:t>
      </w:r>
      <w:proofErr w:type="spellEnd"/>
      <w:r w:rsidRPr="00BE3785">
        <w:rPr>
          <w:rFonts w:ascii="Arial" w:eastAsia="Times New Roman" w:hAnsi="Arial" w:cs="Arial"/>
          <w:color w:val="6B6B6B"/>
          <w:sz w:val="18"/>
          <w:szCs w:val="18"/>
          <w:lang w:eastAsia="fr-FR"/>
        </w:rPr>
        <w:t xml:space="preserve"> sont en cours. Le statut d’orphelin-drogue a été accordé au CK-2017357 par les Etats-Unis Food and Drug Administration pour le traitement potentiel du SLA.</w:t>
      </w:r>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 xml:space="preserve">Dans résultats de l’essai clinique de phase </w:t>
      </w:r>
      <w:proofErr w:type="spellStart"/>
      <w:r w:rsidRPr="00BE3785">
        <w:rPr>
          <w:rFonts w:ascii="Arial" w:eastAsia="Times New Roman" w:hAnsi="Arial" w:cs="Arial"/>
          <w:color w:val="6B6B6B"/>
          <w:sz w:val="18"/>
          <w:szCs w:val="18"/>
          <w:lang w:eastAsia="fr-FR"/>
        </w:rPr>
        <w:t>IIa</w:t>
      </w:r>
      <w:proofErr w:type="spellEnd"/>
      <w:r w:rsidRPr="00BE3785">
        <w:rPr>
          <w:rFonts w:ascii="Arial" w:eastAsia="Times New Roman" w:hAnsi="Arial" w:cs="Arial"/>
          <w:color w:val="6B6B6B"/>
          <w:sz w:val="18"/>
          <w:szCs w:val="18"/>
          <w:lang w:eastAsia="fr-FR"/>
        </w:rPr>
        <w:t xml:space="preserve"> chez des patients présentant la SLA, les doses simples de CK-2017357 ont été évaluées et apparaissent comme saines et </w:t>
      </w:r>
      <w:proofErr w:type="spellStart"/>
      <w:r w:rsidRPr="00BE3785">
        <w:rPr>
          <w:rFonts w:ascii="Arial" w:eastAsia="Times New Roman" w:hAnsi="Arial" w:cs="Arial"/>
          <w:color w:val="6B6B6B"/>
          <w:sz w:val="18"/>
          <w:szCs w:val="18"/>
          <w:lang w:eastAsia="fr-FR"/>
        </w:rPr>
        <w:t>générallement</w:t>
      </w:r>
      <w:proofErr w:type="spellEnd"/>
      <w:r w:rsidRPr="00BE3785">
        <w:rPr>
          <w:rFonts w:ascii="Arial" w:eastAsia="Times New Roman" w:hAnsi="Arial" w:cs="Arial"/>
          <w:color w:val="6B6B6B"/>
          <w:sz w:val="18"/>
          <w:szCs w:val="18"/>
          <w:lang w:eastAsia="fr-FR"/>
        </w:rPr>
        <w:t xml:space="preserve"> bien tolérées. De plus, les patients et les investigateurs ont perçu un changement positif du statut global des </w:t>
      </w:r>
      <w:proofErr w:type="spellStart"/>
      <w:r w:rsidRPr="00BE3785">
        <w:rPr>
          <w:rFonts w:ascii="Arial" w:eastAsia="Times New Roman" w:hAnsi="Arial" w:cs="Arial"/>
          <w:color w:val="6B6B6B"/>
          <w:sz w:val="18"/>
          <w:szCs w:val="18"/>
          <w:lang w:eastAsia="fr-FR"/>
        </w:rPr>
        <w:t>patientsl</w:t>
      </w:r>
      <w:proofErr w:type="spellEnd"/>
      <w:r w:rsidRPr="00BE3785">
        <w:rPr>
          <w:rFonts w:ascii="Arial" w:eastAsia="Times New Roman" w:hAnsi="Arial" w:cs="Arial"/>
          <w:color w:val="6B6B6B"/>
          <w:sz w:val="18"/>
          <w:szCs w:val="18"/>
          <w:lang w:eastAsia="fr-FR"/>
        </w:rPr>
        <w:t xml:space="preserve">, d’une manière dose dépendante, à 6 heures après le dosage avec CK-2017357. En outre, il y a des relations claires entre </w:t>
      </w:r>
      <w:proofErr w:type="gramStart"/>
      <w:r w:rsidRPr="00BE3785">
        <w:rPr>
          <w:rFonts w:ascii="Arial" w:eastAsia="Times New Roman" w:hAnsi="Arial" w:cs="Arial"/>
          <w:color w:val="6B6B6B"/>
          <w:sz w:val="18"/>
          <w:szCs w:val="18"/>
          <w:lang w:eastAsia="fr-FR"/>
        </w:rPr>
        <w:t>l’ améliorations</w:t>
      </w:r>
      <w:proofErr w:type="gramEnd"/>
      <w:r w:rsidRPr="00BE3785">
        <w:rPr>
          <w:rFonts w:ascii="Arial" w:eastAsia="Times New Roman" w:hAnsi="Arial" w:cs="Arial"/>
          <w:color w:val="6B6B6B"/>
          <w:sz w:val="18"/>
          <w:szCs w:val="18"/>
          <w:lang w:eastAsia="fr-FR"/>
        </w:rPr>
        <w:t xml:space="preserve"> globales et la concentration du plasma CK-2017357. Des améliorations ont été associées à une tendance diminuée de la fatigabilité du muscle, démontré par des données et résultats d’exercices de forces et </w:t>
      </w:r>
      <w:proofErr w:type="spellStart"/>
      <w:r w:rsidRPr="00BE3785">
        <w:rPr>
          <w:rFonts w:ascii="Arial" w:eastAsia="Times New Roman" w:hAnsi="Arial" w:cs="Arial"/>
          <w:color w:val="6B6B6B"/>
          <w:sz w:val="18"/>
          <w:szCs w:val="18"/>
          <w:lang w:eastAsia="fr-FR"/>
        </w:rPr>
        <w:t>resistance</w:t>
      </w:r>
      <w:proofErr w:type="spellEnd"/>
      <w:r w:rsidRPr="00BE3785">
        <w:rPr>
          <w:rFonts w:ascii="Arial" w:eastAsia="Times New Roman" w:hAnsi="Arial" w:cs="Arial"/>
          <w:color w:val="6B6B6B"/>
          <w:sz w:val="18"/>
          <w:szCs w:val="18"/>
          <w:lang w:eastAsia="fr-FR"/>
        </w:rPr>
        <w:t>. Les données de ce test clinique ont également montrés des résultats statistiquement significatifs, entre l’ augmentation du volume maximum d’air que les patients pourraient inhaler et expirer en dix secondes (ventilation volontaire maximum) à 6 et 24 heures après 500mg de CK-2017357, même si petits, quand même statistiquement significatif à l’augmentation de la force de certains groupes de muscles testés.</w:t>
      </w:r>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 xml:space="preserve">Compléments d’information Contactez Katy </w:t>
      </w:r>
      <w:proofErr w:type="spellStart"/>
      <w:r w:rsidRPr="00BE3785">
        <w:rPr>
          <w:rFonts w:ascii="Arial" w:eastAsia="Times New Roman" w:hAnsi="Arial" w:cs="Arial"/>
          <w:color w:val="6B6B6B"/>
          <w:sz w:val="18"/>
          <w:szCs w:val="18"/>
          <w:lang w:eastAsia="fr-FR"/>
        </w:rPr>
        <w:t>Shaver</w:t>
      </w:r>
      <w:proofErr w:type="spellEnd"/>
      <w:r w:rsidRPr="00BE3785">
        <w:rPr>
          <w:rFonts w:ascii="Arial" w:eastAsia="Times New Roman" w:hAnsi="Arial" w:cs="Arial"/>
          <w:color w:val="6B6B6B"/>
          <w:sz w:val="18"/>
          <w:szCs w:val="18"/>
          <w:lang w:eastAsia="fr-FR"/>
        </w:rPr>
        <w:t>, CCRP kshaver@partners.org.</w:t>
      </w:r>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Vous pouvez également visiter le site suivant:</w:t>
      </w:r>
      <w:hyperlink r:id="rId18" w:tooltip="http://www.clinicaltrials.gov/ct2/show/NCT01089010?term=cytokinetics&amp;rank=2" w:history="1">
        <w:r w:rsidRPr="00BE3785">
          <w:rPr>
            <w:rFonts w:ascii="Arial" w:eastAsia="Times New Roman" w:hAnsi="Arial" w:cs="Arial"/>
            <w:color w:val="9AC528"/>
            <w:sz w:val="18"/>
            <w:szCs w:val="18"/>
            <w:u w:val="single"/>
            <w:lang w:eastAsia="fr-FR"/>
          </w:rPr>
          <w:t>http://www.clinicaltrials.gov/ct2/show/NCT01089010?term=cytokinetics&amp;rank=2</w:t>
        </w:r>
      </w:hyperlink>
    </w:p>
    <w:p w:rsidR="00BE3785" w:rsidRPr="00BE3785" w:rsidRDefault="00BE3785" w:rsidP="00BE3785">
      <w:pPr>
        <w:shd w:val="clear" w:color="auto" w:fill="FFFFFF"/>
        <w:spacing w:before="100" w:beforeAutospacing="1" w:after="100" w:afterAutospacing="1" w:line="336" w:lineRule="atLeast"/>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eastAsia="fr-FR"/>
        </w:rPr>
        <w:t>Résumé traduit depuis cet article </w:t>
      </w:r>
      <w:hyperlink r:id="rId19" w:history="1">
        <w:r w:rsidRPr="00BE3785">
          <w:rPr>
            <w:rFonts w:ascii="Arial" w:eastAsia="Times New Roman" w:hAnsi="Arial" w:cs="Arial"/>
            <w:color w:val="9AC528"/>
            <w:sz w:val="18"/>
            <w:szCs w:val="18"/>
            <w:u w:val="single"/>
            <w:lang w:eastAsia="fr-FR"/>
          </w:rPr>
          <w:t xml:space="preserve">Phase II </w:t>
        </w:r>
        <w:proofErr w:type="spellStart"/>
        <w:r w:rsidRPr="00BE3785">
          <w:rPr>
            <w:rFonts w:ascii="Arial" w:eastAsia="Times New Roman" w:hAnsi="Arial" w:cs="Arial"/>
            <w:color w:val="9AC528"/>
            <w:sz w:val="18"/>
            <w:szCs w:val="18"/>
            <w:u w:val="single"/>
            <w:lang w:eastAsia="fr-FR"/>
          </w:rPr>
          <w:t>Clinical</w:t>
        </w:r>
        <w:proofErr w:type="spellEnd"/>
        <w:r w:rsidRPr="00BE3785">
          <w:rPr>
            <w:rFonts w:ascii="Arial" w:eastAsia="Times New Roman" w:hAnsi="Arial" w:cs="Arial"/>
            <w:color w:val="9AC528"/>
            <w:sz w:val="18"/>
            <w:szCs w:val="18"/>
            <w:u w:val="single"/>
            <w:lang w:eastAsia="fr-FR"/>
          </w:rPr>
          <w:t xml:space="preserve"> Trial of CK-2017357 Opens for People </w:t>
        </w:r>
        <w:proofErr w:type="spellStart"/>
        <w:r w:rsidRPr="00BE3785">
          <w:rPr>
            <w:rFonts w:ascii="Arial" w:eastAsia="Times New Roman" w:hAnsi="Arial" w:cs="Arial"/>
            <w:color w:val="9AC528"/>
            <w:sz w:val="18"/>
            <w:szCs w:val="18"/>
            <w:u w:val="single"/>
            <w:lang w:eastAsia="fr-FR"/>
          </w:rPr>
          <w:t>with</w:t>
        </w:r>
        <w:proofErr w:type="spellEnd"/>
        <w:r w:rsidRPr="00BE3785">
          <w:rPr>
            <w:rFonts w:ascii="Arial" w:eastAsia="Times New Roman" w:hAnsi="Arial" w:cs="Arial"/>
            <w:color w:val="9AC528"/>
            <w:sz w:val="18"/>
            <w:szCs w:val="18"/>
            <w:u w:val="single"/>
            <w:lang w:eastAsia="fr-FR"/>
          </w:rPr>
          <w:t xml:space="preserve"> ALS</w:t>
        </w:r>
      </w:hyperlink>
      <w:r w:rsidRPr="00BE3785">
        <w:rPr>
          <w:rFonts w:ascii="Arial" w:eastAsia="Times New Roman" w:hAnsi="Arial" w:cs="Arial"/>
          <w:color w:val="6B6B6B"/>
          <w:sz w:val="18"/>
          <w:szCs w:val="18"/>
          <w:lang w:eastAsia="fr-FR"/>
        </w:rPr>
        <w:t> trouvé sur </w:t>
      </w:r>
      <w:proofErr w:type="spellStart"/>
      <w:r w:rsidRPr="00BE3785">
        <w:rPr>
          <w:rFonts w:ascii="Arial" w:eastAsia="Times New Roman" w:hAnsi="Arial" w:cs="Arial"/>
          <w:color w:val="6B6B6B"/>
          <w:sz w:val="18"/>
          <w:szCs w:val="18"/>
          <w:lang w:eastAsia="fr-FR"/>
        </w:rPr>
        <w:fldChar w:fldCharType="begin"/>
      </w:r>
      <w:r w:rsidRPr="00BE3785">
        <w:rPr>
          <w:rFonts w:ascii="Arial" w:eastAsia="Times New Roman" w:hAnsi="Arial" w:cs="Arial"/>
          <w:color w:val="6B6B6B"/>
          <w:sz w:val="18"/>
          <w:szCs w:val="18"/>
          <w:lang w:eastAsia="fr-FR"/>
        </w:rPr>
        <w:instrText xml:space="preserve"> HYPERLINK "http://www.communaute-sla.org/translation/index.php/post/2011/06/27/fr" </w:instrText>
      </w:r>
      <w:r w:rsidRPr="00BE3785">
        <w:rPr>
          <w:rFonts w:ascii="Arial" w:eastAsia="Times New Roman" w:hAnsi="Arial" w:cs="Arial"/>
          <w:color w:val="6B6B6B"/>
          <w:sz w:val="18"/>
          <w:szCs w:val="18"/>
          <w:lang w:eastAsia="fr-FR"/>
        </w:rPr>
        <w:fldChar w:fldCharType="separate"/>
      </w:r>
      <w:r w:rsidRPr="00BE3785">
        <w:rPr>
          <w:rFonts w:ascii="Arial" w:eastAsia="Times New Roman" w:hAnsi="Arial" w:cs="Arial"/>
          <w:color w:val="9AC528"/>
          <w:sz w:val="18"/>
          <w:szCs w:val="18"/>
          <w:u w:val="single"/>
          <w:lang w:eastAsia="fr-FR"/>
        </w:rPr>
        <w:t>Planet</w:t>
      </w:r>
      <w:proofErr w:type="spellEnd"/>
      <w:r w:rsidRPr="00BE3785">
        <w:rPr>
          <w:rFonts w:ascii="Arial" w:eastAsia="Times New Roman" w:hAnsi="Arial" w:cs="Arial"/>
          <w:color w:val="9AC528"/>
          <w:sz w:val="18"/>
          <w:szCs w:val="18"/>
          <w:u w:val="single"/>
          <w:lang w:eastAsia="fr-FR"/>
        </w:rPr>
        <w:t xml:space="preserve"> SLA</w:t>
      </w:r>
      <w:r w:rsidRPr="00BE3785">
        <w:rPr>
          <w:rFonts w:ascii="Arial" w:eastAsia="Times New Roman" w:hAnsi="Arial" w:cs="Arial"/>
          <w:color w:val="6B6B6B"/>
          <w:sz w:val="18"/>
          <w:szCs w:val="18"/>
          <w:lang w:eastAsia="fr-FR"/>
        </w:rPr>
        <w:fldChar w:fldCharType="end"/>
      </w:r>
      <w:r w:rsidRPr="00BE3785">
        <w:rPr>
          <w:rFonts w:ascii="Arial" w:eastAsia="Times New Roman" w:hAnsi="Arial" w:cs="Arial"/>
          <w:color w:val="6B6B6B"/>
          <w:sz w:val="18"/>
          <w:szCs w:val="18"/>
          <w:lang w:eastAsia="fr-FR"/>
        </w:rPr>
        <w:t> grâce à cette discussion du </w:t>
      </w:r>
      <w:hyperlink r:id="rId20" w:history="1">
        <w:r w:rsidRPr="00BE3785">
          <w:rPr>
            <w:rFonts w:ascii="Arial" w:eastAsia="Times New Roman" w:hAnsi="Arial" w:cs="Arial"/>
            <w:color w:val="9AC528"/>
            <w:sz w:val="18"/>
            <w:szCs w:val="18"/>
            <w:u w:val="single"/>
            <w:lang w:eastAsia="fr-FR"/>
          </w:rPr>
          <w:t>Forum SLA</w:t>
        </w:r>
      </w:hyperlink>
    </w:p>
    <w:p w:rsidR="00BE3785" w:rsidRPr="00BE3785" w:rsidRDefault="00BE3785" w:rsidP="00BE3785">
      <w:pPr>
        <w:pBdr>
          <w:top w:val="single" w:sz="6" w:space="4" w:color="BFBFBF"/>
          <w:left w:val="single" w:sz="2" w:space="4" w:color="BFBFBF"/>
          <w:bottom w:val="single" w:sz="6" w:space="4" w:color="BFBFBF"/>
          <w:right w:val="single" w:sz="2" w:space="4" w:color="BFBFBF"/>
        </w:pBdr>
        <w:shd w:val="clear" w:color="auto" w:fill="FBFBFB"/>
        <w:spacing w:before="300" w:after="120" w:line="240" w:lineRule="auto"/>
        <w:outlineLvl w:val="2"/>
        <w:rPr>
          <w:rFonts w:ascii="Arial" w:eastAsia="Times New Roman" w:hAnsi="Arial" w:cs="Arial"/>
          <w:b/>
          <w:bCs/>
          <w:color w:val="6B6B6B"/>
          <w:lang w:eastAsia="fr-FR"/>
        </w:rPr>
      </w:pPr>
      <w:r w:rsidRPr="00BE3785">
        <w:rPr>
          <w:rFonts w:ascii="Arial" w:eastAsia="Times New Roman" w:hAnsi="Arial" w:cs="Arial"/>
          <w:b/>
          <w:bCs/>
          <w:color w:val="6B6B6B"/>
          <w:lang w:eastAsia="fr-FR"/>
        </w:rPr>
        <w:t>Commentaires</w:t>
      </w:r>
    </w:p>
    <w:p w:rsidR="00BE3785" w:rsidRPr="00BE3785" w:rsidRDefault="00B476BB" w:rsidP="00BE3785">
      <w:pPr>
        <w:spacing w:before="360" w:after="0" w:line="240" w:lineRule="auto"/>
        <w:rPr>
          <w:rFonts w:ascii="Arial" w:eastAsia="Times New Roman" w:hAnsi="Arial" w:cs="Arial"/>
          <w:color w:val="6B6B6B"/>
          <w:sz w:val="18"/>
          <w:szCs w:val="18"/>
          <w:lang w:eastAsia="fr-FR"/>
        </w:rPr>
      </w:pPr>
      <w:hyperlink r:id="rId21" w:anchor="c85" w:history="1">
        <w:proofErr w:type="gramStart"/>
        <w:r w:rsidR="00BE3785" w:rsidRPr="00BE3785">
          <w:rPr>
            <w:rFonts w:ascii="Arial" w:eastAsia="Times New Roman" w:hAnsi="Arial" w:cs="Arial"/>
            <w:color w:val="9AC528"/>
            <w:u w:val="single"/>
            <w:lang w:eastAsia="fr-FR"/>
          </w:rPr>
          <w:t>1.</w:t>
        </w:r>
        <w:proofErr w:type="gramEnd"/>
      </w:hyperlink>
      <w:r w:rsidR="00BE3785" w:rsidRPr="00BE3785">
        <w:rPr>
          <w:rFonts w:ascii="Arial" w:eastAsia="Times New Roman" w:hAnsi="Arial" w:cs="Arial"/>
          <w:color w:val="6B6B6B"/>
          <w:sz w:val="18"/>
          <w:szCs w:val="18"/>
          <w:lang w:eastAsia="fr-FR"/>
        </w:rPr>
        <w:t>Le jeudi, novembre 24 2011, 09:32 par </w:t>
      </w:r>
      <w:hyperlink r:id="rId22" w:history="1">
        <w:r w:rsidR="00BE3785" w:rsidRPr="00BE3785">
          <w:rPr>
            <w:rFonts w:ascii="Arial" w:eastAsia="Times New Roman" w:hAnsi="Arial" w:cs="Arial"/>
            <w:color w:val="9AC528"/>
            <w:sz w:val="18"/>
            <w:szCs w:val="18"/>
            <w:u w:val="single"/>
            <w:lang w:eastAsia="fr-FR"/>
          </w:rPr>
          <w:t xml:space="preserve">New </w:t>
        </w:r>
        <w:proofErr w:type="spellStart"/>
        <w:r w:rsidR="00BE3785" w:rsidRPr="00BE3785">
          <w:rPr>
            <w:rFonts w:ascii="Arial" w:eastAsia="Times New Roman" w:hAnsi="Arial" w:cs="Arial"/>
            <w:color w:val="9AC528"/>
            <w:sz w:val="18"/>
            <w:szCs w:val="18"/>
            <w:u w:val="single"/>
            <w:lang w:eastAsia="fr-FR"/>
          </w:rPr>
          <w:t>Timberland</w:t>
        </w:r>
        <w:proofErr w:type="spellEnd"/>
        <w:r w:rsidR="00BE3785" w:rsidRPr="00BE3785">
          <w:rPr>
            <w:rFonts w:ascii="Arial" w:eastAsia="Times New Roman" w:hAnsi="Arial" w:cs="Arial"/>
            <w:color w:val="9AC528"/>
            <w:sz w:val="18"/>
            <w:szCs w:val="18"/>
            <w:u w:val="single"/>
            <w:lang w:eastAsia="fr-FR"/>
          </w:rPr>
          <w:t xml:space="preserve"> </w:t>
        </w:r>
        <w:proofErr w:type="spellStart"/>
        <w:r w:rsidR="00BE3785" w:rsidRPr="00BE3785">
          <w:rPr>
            <w:rFonts w:ascii="Arial" w:eastAsia="Times New Roman" w:hAnsi="Arial" w:cs="Arial"/>
            <w:color w:val="9AC528"/>
            <w:sz w:val="18"/>
            <w:szCs w:val="18"/>
            <w:u w:val="single"/>
            <w:lang w:eastAsia="fr-FR"/>
          </w:rPr>
          <w:t>Shoes</w:t>
        </w:r>
        <w:proofErr w:type="spellEnd"/>
      </w:hyperlink>
    </w:p>
    <w:p w:rsidR="00BE3785" w:rsidRPr="00BE3785" w:rsidRDefault="00BE3785" w:rsidP="00BE3785">
      <w:pPr>
        <w:shd w:val="clear" w:color="auto" w:fill="FFFAD1"/>
        <w:spacing w:before="120" w:after="120" w:line="360" w:lineRule="atLeast"/>
        <w:ind w:left="720"/>
        <w:rPr>
          <w:rFonts w:ascii="Arial" w:eastAsia="Times New Roman" w:hAnsi="Arial" w:cs="Arial"/>
          <w:color w:val="6B6B6B"/>
          <w:sz w:val="18"/>
          <w:szCs w:val="18"/>
          <w:lang w:val="en-US" w:eastAsia="fr-FR"/>
        </w:rPr>
      </w:pPr>
      <w:r w:rsidRPr="00BE3785">
        <w:rPr>
          <w:rFonts w:ascii="Arial" w:eastAsia="Times New Roman" w:hAnsi="Arial" w:cs="Arial"/>
          <w:color w:val="6B6B6B"/>
          <w:sz w:val="18"/>
          <w:szCs w:val="18"/>
          <w:lang w:val="en-US" w:eastAsia="fr-FR"/>
        </w:rPr>
        <w:t>This article tell the reality of very important organization and clearly gives the reasons that what they are doing. Very information article and actions should be taken against such organizations</w:t>
      </w:r>
    </w:p>
    <w:p w:rsidR="00BE3785" w:rsidRPr="00BE3785" w:rsidRDefault="00B476BB" w:rsidP="00BE3785">
      <w:pPr>
        <w:spacing w:before="360" w:after="0" w:line="240" w:lineRule="auto"/>
        <w:rPr>
          <w:rFonts w:ascii="Arial" w:eastAsia="Times New Roman" w:hAnsi="Arial" w:cs="Arial"/>
          <w:color w:val="6B6B6B"/>
          <w:sz w:val="18"/>
          <w:szCs w:val="18"/>
          <w:lang w:eastAsia="fr-FR"/>
        </w:rPr>
      </w:pPr>
      <w:hyperlink r:id="rId23" w:anchor="c113" w:history="1">
        <w:proofErr w:type="gramStart"/>
        <w:r w:rsidR="00BE3785" w:rsidRPr="00BE3785">
          <w:rPr>
            <w:rFonts w:ascii="Arial" w:eastAsia="Times New Roman" w:hAnsi="Arial" w:cs="Arial"/>
            <w:color w:val="9AC528"/>
            <w:u w:val="single"/>
            <w:lang w:eastAsia="fr-FR"/>
          </w:rPr>
          <w:t>2.</w:t>
        </w:r>
        <w:proofErr w:type="gramEnd"/>
      </w:hyperlink>
      <w:r w:rsidR="00BE3785" w:rsidRPr="00BE3785">
        <w:rPr>
          <w:rFonts w:ascii="Arial" w:eastAsia="Times New Roman" w:hAnsi="Arial" w:cs="Arial"/>
          <w:color w:val="6B6B6B"/>
          <w:sz w:val="18"/>
          <w:szCs w:val="18"/>
          <w:lang w:eastAsia="fr-FR"/>
        </w:rPr>
        <w:t>Le mercredi, décembre 28 2011, 22:31 par </w:t>
      </w:r>
      <w:proofErr w:type="spellStart"/>
      <w:r w:rsidR="00BE3785" w:rsidRPr="00BE3785">
        <w:rPr>
          <w:rFonts w:ascii="Arial" w:eastAsia="Times New Roman" w:hAnsi="Arial" w:cs="Arial"/>
          <w:color w:val="6B6B6B"/>
          <w:sz w:val="18"/>
          <w:szCs w:val="18"/>
          <w:lang w:eastAsia="fr-FR"/>
        </w:rPr>
        <w:fldChar w:fldCharType="begin"/>
      </w:r>
      <w:r w:rsidR="00BE3785" w:rsidRPr="00BE3785">
        <w:rPr>
          <w:rFonts w:ascii="Arial" w:eastAsia="Times New Roman" w:hAnsi="Arial" w:cs="Arial"/>
          <w:color w:val="6B6B6B"/>
          <w:sz w:val="18"/>
          <w:szCs w:val="18"/>
          <w:lang w:eastAsia="fr-FR"/>
        </w:rPr>
        <w:instrText xml:space="preserve"> HYPERLINK "http://www.monclerjacketstore.org.uk/" </w:instrText>
      </w:r>
      <w:r w:rsidR="00BE3785" w:rsidRPr="00BE3785">
        <w:rPr>
          <w:rFonts w:ascii="Arial" w:eastAsia="Times New Roman" w:hAnsi="Arial" w:cs="Arial"/>
          <w:color w:val="6B6B6B"/>
          <w:sz w:val="18"/>
          <w:szCs w:val="18"/>
          <w:lang w:eastAsia="fr-FR"/>
        </w:rPr>
        <w:fldChar w:fldCharType="separate"/>
      </w:r>
      <w:r w:rsidR="00BE3785" w:rsidRPr="00BE3785">
        <w:rPr>
          <w:rFonts w:ascii="Arial" w:eastAsia="Times New Roman" w:hAnsi="Arial" w:cs="Arial"/>
          <w:color w:val="9AC528"/>
          <w:sz w:val="18"/>
          <w:szCs w:val="18"/>
          <w:u w:val="single"/>
          <w:lang w:eastAsia="fr-FR"/>
        </w:rPr>
        <w:t>moncler</w:t>
      </w:r>
      <w:proofErr w:type="spellEnd"/>
      <w:r w:rsidR="00BE3785" w:rsidRPr="00BE3785">
        <w:rPr>
          <w:rFonts w:ascii="Arial" w:eastAsia="Times New Roman" w:hAnsi="Arial" w:cs="Arial"/>
          <w:color w:val="9AC528"/>
          <w:sz w:val="18"/>
          <w:szCs w:val="18"/>
          <w:u w:val="single"/>
          <w:lang w:eastAsia="fr-FR"/>
        </w:rPr>
        <w:t xml:space="preserve"> jackets store</w:t>
      </w:r>
      <w:r w:rsidR="00BE3785" w:rsidRPr="00BE3785">
        <w:rPr>
          <w:rFonts w:ascii="Arial" w:eastAsia="Times New Roman" w:hAnsi="Arial" w:cs="Arial"/>
          <w:color w:val="6B6B6B"/>
          <w:sz w:val="18"/>
          <w:szCs w:val="18"/>
          <w:lang w:eastAsia="fr-FR"/>
        </w:rPr>
        <w:fldChar w:fldCharType="end"/>
      </w:r>
    </w:p>
    <w:p w:rsidR="00385E61" w:rsidRPr="00BE3785" w:rsidRDefault="00BE3785" w:rsidP="00BE3785">
      <w:pPr>
        <w:shd w:val="clear" w:color="auto" w:fill="FFFAD1"/>
        <w:spacing w:before="120" w:after="120" w:line="360" w:lineRule="atLeast"/>
        <w:ind w:left="720"/>
        <w:rPr>
          <w:rFonts w:ascii="Arial" w:eastAsia="Times New Roman" w:hAnsi="Arial" w:cs="Arial"/>
          <w:color w:val="6B6B6B"/>
          <w:sz w:val="18"/>
          <w:szCs w:val="18"/>
          <w:lang w:eastAsia="fr-FR"/>
        </w:rPr>
      </w:pPr>
      <w:r w:rsidRPr="00BE3785">
        <w:rPr>
          <w:rFonts w:ascii="Arial" w:eastAsia="Times New Roman" w:hAnsi="Arial" w:cs="Arial"/>
          <w:color w:val="6B6B6B"/>
          <w:sz w:val="18"/>
          <w:szCs w:val="18"/>
          <w:lang w:val="en-US" w:eastAsia="fr-FR"/>
        </w:rPr>
        <w:t xml:space="preserve">It does not follow that because we do not subsidize smoking, we should not regulate unhealthy activities. Costs and savings are not the only variable. The fact that obesity creates costs is merely an additional reason to regulate it, not the only one. </w:t>
      </w:r>
      <w:r w:rsidRPr="00BE3785">
        <w:rPr>
          <w:rFonts w:ascii="Arial" w:eastAsia="Times New Roman" w:hAnsi="Arial" w:cs="Arial"/>
          <w:color w:val="6B6B6B"/>
          <w:sz w:val="18"/>
          <w:szCs w:val="18"/>
          <w:lang w:eastAsia="fr-FR"/>
        </w:rPr>
        <w:t xml:space="preserve">The main </w:t>
      </w:r>
      <w:proofErr w:type="spellStart"/>
      <w:r w:rsidRPr="00BE3785">
        <w:rPr>
          <w:rFonts w:ascii="Arial" w:eastAsia="Times New Roman" w:hAnsi="Arial" w:cs="Arial"/>
          <w:color w:val="6B6B6B"/>
          <w:sz w:val="18"/>
          <w:szCs w:val="18"/>
          <w:lang w:eastAsia="fr-FR"/>
        </w:rPr>
        <w:t>reason</w:t>
      </w:r>
      <w:proofErr w:type="spellEnd"/>
      <w:r w:rsidRPr="00BE3785">
        <w:rPr>
          <w:rFonts w:ascii="Arial" w:eastAsia="Times New Roman" w:hAnsi="Arial" w:cs="Arial"/>
          <w:color w:val="6B6B6B"/>
          <w:sz w:val="18"/>
          <w:szCs w:val="18"/>
          <w:lang w:eastAsia="fr-FR"/>
        </w:rPr>
        <w:t xml:space="preserve"> </w:t>
      </w:r>
      <w:proofErr w:type="spellStart"/>
      <w:r w:rsidRPr="00BE3785">
        <w:rPr>
          <w:rFonts w:ascii="Arial" w:eastAsia="Times New Roman" w:hAnsi="Arial" w:cs="Arial"/>
          <w:color w:val="6B6B6B"/>
          <w:sz w:val="18"/>
          <w:szCs w:val="18"/>
          <w:lang w:eastAsia="fr-FR"/>
        </w:rPr>
        <w:t>is</w:t>
      </w:r>
      <w:proofErr w:type="spellEnd"/>
      <w:r w:rsidRPr="00BE3785">
        <w:rPr>
          <w:rFonts w:ascii="Arial" w:eastAsia="Times New Roman" w:hAnsi="Arial" w:cs="Arial"/>
          <w:color w:val="6B6B6B"/>
          <w:sz w:val="18"/>
          <w:szCs w:val="18"/>
          <w:lang w:eastAsia="fr-FR"/>
        </w:rPr>
        <w:t xml:space="preserve"> </w:t>
      </w:r>
      <w:proofErr w:type="spellStart"/>
      <w:r w:rsidRPr="00BE3785">
        <w:rPr>
          <w:rFonts w:ascii="Arial" w:eastAsia="Times New Roman" w:hAnsi="Arial" w:cs="Arial"/>
          <w:color w:val="6B6B6B"/>
          <w:sz w:val="18"/>
          <w:szCs w:val="18"/>
          <w:lang w:eastAsia="fr-FR"/>
        </w:rPr>
        <w:t>its</w:t>
      </w:r>
      <w:proofErr w:type="spellEnd"/>
      <w:r w:rsidRPr="00BE3785">
        <w:rPr>
          <w:rFonts w:ascii="Arial" w:eastAsia="Times New Roman" w:hAnsi="Arial" w:cs="Arial"/>
          <w:color w:val="6B6B6B"/>
          <w:sz w:val="18"/>
          <w:szCs w:val="18"/>
          <w:lang w:eastAsia="fr-FR"/>
        </w:rPr>
        <w:t xml:space="preserve"> danger to an </w:t>
      </w:r>
      <w:proofErr w:type="spellStart"/>
      <w:r w:rsidRPr="00BE3785">
        <w:rPr>
          <w:rFonts w:ascii="Arial" w:eastAsia="Times New Roman" w:hAnsi="Arial" w:cs="Arial"/>
          <w:color w:val="6B6B6B"/>
          <w:sz w:val="18"/>
          <w:szCs w:val="18"/>
          <w:lang w:eastAsia="fr-FR"/>
        </w:rPr>
        <w:t>individual</w:t>
      </w:r>
      <w:proofErr w:type="spellEnd"/>
      <w:r w:rsidRPr="00BE3785">
        <w:rPr>
          <w:rFonts w:ascii="Arial" w:eastAsia="Times New Roman" w:hAnsi="Arial" w:cs="Arial"/>
          <w:color w:val="6B6B6B"/>
          <w:sz w:val="18"/>
          <w:szCs w:val="18"/>
          <w:lang w:eastAsia="fr-FR"/>
        </w:rPr>
        <w:t>.</w:t>
      </w:r>
    </w:p>
    <w:sectPr w:rsidR="00385E61" w:rsidRPr="00BE3785" w:rsidSect="00BE3785">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A028B5"/>
    <w:multiLevelType w:val="multilevel"/>
    <w:tmpl w:val="D5F8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785"/>
    <w:rsid w:val="00385E61"/>
    <w:rsid w:val="00513894"/>
    <w:rsid w:val="00B476BB"/>
    <w:rsid w:val="00BE3785"/>
    <w:rsid w:val="00EE36F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9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9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52182">
      <w:bodyDiv w:val="1"/>
      <w:marLeft w:val="0"/>
      <w:marRight w:val="0"/>
      <w:marTop w:val="0"/>
      <w:marBottom w:val="0"/>
      <w:divBdr>
        <w:top w:val="none" w:sz="0" w:space="0" w:color="auto"/>
        <w:left w:val="none" w:sz="0" w:space="0" w:color="auto"/>
        <w:bottom w:val="none" w:sz="0" w:space="0" w:color="auto"/>
        <w:right w:val="none" w:sz="0" w:space="0" w:color="auto"/>
      </w:divBdr>
      <w:divsChild>
        <w:div w:id="585504500">
          <w:marLeft w:val="0"/>
          <w:marRight w:val="0"/>
          <w:marTop w:val="0"/>
          <w:marBottom w:val="480"/>
          <w:divBdr>
            <w:top w:val="none" w:sz="0" w:space="0" w:color="auto"/>
            <w:left w:val="none" w:sz="0" w:space="0" w:color="auto"/>
            <w:bottom w:val="none" w:sz="0" w:space="0" w:color="auto"/>
            <w:right w:val="none" w:sz="0" w:space="0" w:color="auto"/>
          </w:divBdr>
          <w:divsChild>
            <w:div w:id="202331">
              <w:marLeft w:val="0"/>
              <w:marRight w:val="0"/>
              <w:marTop w:val="0"/>
              <w:marBottom w:val="0"/>
              <w:divBdr>
                <w:top w:val="none" w:sz="0" w:space="0" w:color="auto"/>
                <w:left w:val="none" w:sz="0" w:space="0" w:color="auto"/>
                <w:bottom w:val="none" w:sz="0" w:space="0" w:color="auto"/>
                <w:right w:val="none" w:sz="0" w:space="0" w:color="auto"/>
              </w:divBdr>
            </w:div>
          </w:divsChild>
        </w:div>
        <w:div w:id="432634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munaute-sla.org/translation/index.php/tag/amyotrophique" TargetMode="External"/><Relationship Id="rId13" Type="http://schemas.openxmlformats.org/officeDocument/2006/relationships/hyperlink" Target="http://www.communaute-sla.org/translation/index.php/tag/Lou" TargetMode="External"/><Relationship Id="rId18" Type="http://schemas.openxmlformats.org/officeDocument/2006/relationships/hyperlink" Target="http://www.clinicaltrials.gov/ct2/show/NCT01089010?term=cytokinetics&amp;rank=2" TargetMode="External"/><Relationship Id="rId3" Type="http://schemas.microsoft.com/office/2007/relationships/stylesWithEffects" Target="stylesWithEffects.xml"/><Relationship Id="rId21" Type="http://schemas.openxmlformats.org/officeDocument/2006/relationships/hyperlink" Target="http://www.communaute-sla.org/translation/index.php/post/2011/06/27/Phase-II-Essai-clinique-du-CK-2017357" TargetMode="External"/><Relationship Id="rId7" Type="http://schemas.openxmlformats.org/officeDocument/2006/relationships/hyperlink" Target="http://www.communaute-sla.org/translation/index.php/post/2011/06/27/Phase-II-Essai-clinique-du-CK-2017357" TargetMode="External"/><Relationship Id="rId12" Type="http://schemas.openxmlformats.org/officeDocument/2006/relationships/hyperlink" Target="http://www.communaute-sla.org/translation/index.php/tag/lat%C3%A9rale" TargetMode="External"/><Relationship Id="rId17" Type="http://schemas.openxmlformats.org/officeDocument/2006/relationships/hyperlink" Target="http://www.communaute-sla.org/translation/index.php/tag/SLA"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mmunaute-sla.org/translation/index.php/tag/sla" TargetMode="External"/><Relationship Id="rId20" Type="http://schemas.openxmlformats.org/officeDocument/2006/relationships/hyperlink" Target="http://www.communaute-sla.org/translation/index.php/post/2011/06/27/fr" TargetMode="External"/><Relationship Id="rId1" Type="http://schemas.openxmlformats.org/officeDocument/2006/relationships/numbering" Target="numbering.xml"/><Relationship Id="rId6" Type="http://schemas.openxmlformats.org/officeDocument/2006/relationships/hyperlink" Target="http://www.communaute-sla.org/translation/index.php/category/traduction" TargetMode="External"/><Relationship Id="rId11" Type="http://schemas.openxmlformats.org/officeDocument/2006/relationships/hyperlink" Target="http://www.communaute-sla.org/translation/index.php/tag/communaut%C3%A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munaute-sla.org/translation/index.php/tag/scl%C3%A9rose" TargetMode="External"/><Relationship Id="rId23" Type="http://schemas.openxmlformats.org/officeDocument/2006/relationships/hyperlink" Target="http://www.communaute-sla.org/translation/index.php/post/2011/06/27/Phase-II-Essai-clinique-du-CK-2017357" TargetMode="External"/><Relationship Id="rId10" Type="http://schemas.openxmlformats.org/officeDocument/2006/relationships/hyperlink" Target="http://www.communaute-sla.org/translation/index.php/tag/CK-2017357" TargetMode="External"/><Relationship Id="rId19" Type="http://schemas.openxmlformats.org/officeDocument/2006/relationships/hyperlink" Target="http://www.alsa.org/news/archive/ck2017357-begins-enroll.html" TargetMode="External"/><Relationship Id="rId4" Type="http://schemas.openxmlformats.org/officeDocument/2006/relationships/settings" Target="settings.xml"/><Relationship Id="rId9" Type="http://schemas.openxmlformats.org/officeDocument/2006/relationships/hyperlink" Target="http://www.communaute-sla.org/translation/index.php/tag/charcot" TargetMode="External"/><Relationship Id="rId14" Type="http://schemas.openxmlformats.org/officeDocument/2006/relationships/hyperlink" Target="http://www.communaute-sla.org/translation/index.php/tag/Maladie%20de%20Charcot" TargetMode="External"/><Relationship Id="rId22" Type="http://schemas.openxmlformats.org/officeDocument/2006/relationships/hyperlink" Target="http://www.timberlandbootstore.co.uk/"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1332</Words>
  <Characters>7329</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Pierre</dc:creator>
  <cp:lastModifiedBy>Pierre</cp:lastModifiedBy>
  <cp:revision>3</cp:revision>
  <cp:lastPrinted>2012-02-29T17:30:00Z</cp:lastPrinted>
  <dcterms:created xsi:type="dcterms:W3CDTF">2012-02-29T17:22:00Z</dcterms:created>
  <dcterms:modified xsi:type="dcterms:W3CDTF">2012-03-02T15:30:00Z</dcterms:modified>
</cp:coreProperties>
</file>